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992" w:type="dxa"/>
        <w:tblLayout w:type="fixed"/>
        <w:tblLook w:val="04A0" w:firstRow="1" w:lastRow="0" w:firstColumn="1" w:lastColumn="0" w:noHBand="0" w:noVBand="1"/>
      </w:tblPr>
      <w:tblGrid>
        <w:gridCol w:w="2235"/>
        <w:gridCol w:w="2580"/>
        <w:gridCol w:w="3402"/>
        <w:gridCol w:w="5358"/>
        <w:gridCol w:w="1417"/>
      </w:tblGrid>
      <w:tr w:rsidR="00FD3AD8" w:rsidRPr="002954A6" w:rsidTr="00975090">
        <w:tc>
          <w:tcPr>
            <w:tcW w:w="14992" w:type="dxa"/>
            <w:gridSpan w:val="5"/>
            <w:shd w:val="clear" w:color="auto" w:fill="CFDCE3"/>
            <w:tcMar>
              <w:top w:w="57" w:type="dxa"/>
              <w:bottom w:w="57" w:type="dxa"/>
            </w:tcMar>
          </w:tcPr>
          <w:p w:rsidR="00FD3AD8" w:rsidRPr="002954A6" w:rsidRDefault="00FD3AD8" w:rsidP="00FD3AD8">
            <w:pPr>
              <w:pStyle w:val="ListParagraph"/>
              <w:numPr>
                <w:ilvl w:val="0"/>
                <w:numId w:val="2"/>
              </w:numPr>
              <w:ind w:left="426" w:hanging="284"/>
              <w:rPr>
                <w:rFonts w:ascii="Arial" w:hAnsi="Arial" w:cs="Arial"/>
                <w:b/>
              </w:rPr>
            </w:pPr>
            <w:r w:rsidRPr="002954A6">
              <w:rPr>
                <w:rFonts w:ascii="Arial" w:hAnsi="Arial" w:cs="Arial"/>
                <w:b/>
              </w:rPr>
              <w:t xml:space="preserve">Review of expenditure </w:t>
            </w:r>
          </w:p>
        </w:tc>
      </w:tr>
      <w:tr w:rsidR="00FD3AD8" w:rsidRPr="002954A6" w:rsidTr="00975090">
        <w:tc>
          <w:tcPr>
            <w:tcW w:w="4815" w:type="dxa"/>
            <w:gridSpan w:val="2"/>
            <w:shd w:val="clear" w:color="auto" w:fill="auto"/>
            <w:tcMar>
              <w:top w:w="57" w:type="dxa"/>
              <w:bottom w:w="57" w:type="dxa"/>
            </w:tcMar>
          </w:tcPr>
          <w:p w:rsidR="00FD3AD8" w:rsidRPr="002954A6" w:rsidRDefault="00FD3AD8" w:rsidP="00975090">
            <w:pPr>
              <w:rPr>
                <w:rFonts w:ascii="Arial" w:hAnsi="Arial" w:cs="Arial"/>
                <w:b/>
              </w:rPr>
            </w:pPr>
            <w:r w:rsidRPr="002954A6">
              <w:rPr>
                <w:rFonts w:ascii="Arial" w:hAnsi="Arial" w:cs="Arial"/>
                <w:b/>
              </w:rPr>
              <w:t>Previous Academic Year</w:t>
            </w:r>
          </w:p>
        </w:tc>
        <w:tc>
          <w:tcPr>
            <w:tcW w:w="10177" w:type="dxa"/>
            <w:gridSpan w:val="3"/>
            <w:shd w:val="clear" w:color="auto" w:fill="auto"/>
          </w:tcPr>
          <w:p w:rsidR="00FD3AD8" w:rsidRPr="002954A6" w:rsidRDefault="00FD3AD8" w:rsidP="00975090">
            <w:pPr>
              <w:pStyle w:val="ListParagraph"/>
              <w:ind w:left="567"/>
              <w:rPr>
                <w:rFonts w:ascii="Arial" w:hAnsi="Arial" w:cs="Arial"/>
                <w:b/>
              </w:rPr>
            </w:pPr>
            <w:r>
              <w:rPr>
                <w:rFonts w:ascii="Arial" w:hAnsi="Arial" w:cs="Arial"/>
                <w:b/>
              </w:rPr>
              <w:t>2018/19</w:t>
            </w:r>
          </w:p>
        </w:tc>
      </w:tr>
      <w:tr w:rsidR="00FD3AD8" w:rsidRPr="002954A6" w:rsidTr="00975090">
        <w:tc>
          <w:tcPr>
            <w:tcW w:w="14992" w:type="dxa"/>
            <w:gridSpan w:val="5"/>
            <w:shd w:val="clear" w:color="auto" w:fill="FFFFFF" w:themeFill="background1"/>
            <w:tcMar>
              <w:top w:w="57" w:type="dxa"/>
              <w:bottom w:w="57" w:type="dxa"/>
            </w:tcMar>
          </w:tcPr>
          <w:p w:rsidR="00FD3AD8" w:rsidRPr="002954A6" w:rsidRDefault="00FD3AD8" w:rsidP="00FD3AD8">
            <w:pPr>
              <w:pStyle w:val="ListParagraph"/>
              <w:numPr>
                <w:ilvl w:val="0"/>
                <w:numId w:val="1"/>
              </w:numPr>
              <w:ind w:left="426" w:hanging="142"/>
              <w:rPr>
                <w:rFonts w:ascii="Arial" w:hAnsi="Arial" w:cs="Arial"/>
                <w:b/>
              </w:rPr>
            </w:pPr>
            <w:r w:rsidRPr="002954A6">
              <w:rPr>
                <w:rFonts w:ascii="Arial" w:hAnsi="Arial" w:cs="Arial"/>
                <w:b/>
              </w:rPr>
              <w:t>Quality of teaching for all</w:t>
            </w:r>
          </w:p>
        </w:tc>
      </w:tr>
      <w:tr w:rsidR="00FD3AD8" w:rsidRPr="002954A6" w:rsidTr="00975090">
        <w:trPr>
          <w:trHeight w:val="365"/>
        </w:trPr>
        <w:tc>
          <w:tcPr>
            <w:tcW w:w="2235" w:type="dxa"/>
            <w:tcMar>
              <w:top w:w="57" w:type="dxa"/>
              <w:bottom w:w="57" w:type="dxa"/>
            </w:tcMar>
          </w:tcPr>
          <w:p w:rsidR="00FD3AD8" w:rsidRPr="002954A6" w:rsidRDefault="00FD3AD8" w:rsidP="00975090">
            <w:pPr>
              <w:rPr>
                <w:rFonts w:ascii="Arial" w:hAnsi="Arial" w:cs="Arial"/>
                <w:b/>
              </w:rPr>
            </w:pPr>
            <w:r w:rsidRPr="002954A6">
              <w:rPr>
                <w:rFonts w:ascii="Arial" w:hAnsi="Arial" w:cs="Arial"/>
                <w:b/>
              </w:rPr>
              <w:t>Desired outcome</w:t>
            </w:r>
          </w:p>
        </w:tc>
        <w:tc>
          <w:tcPr>
            <w:tcW w:w="2580" w:type="dxa"/>
            <w:tcMar>
              <w:top w:w="57" w:type="dxa"/>
              <w:bottom w:w="57" w:type="dxa"/>
            </w:tcMar>
          </w:tcPr>
          <w:p w:rsidR="00FD3AD8" w:rsidRPr="002954A6" w:rsidRDefault="00FD3AD8" w:rsidP="00975090">
            <w:pPr>
              <w:rPr>
                <w:rFonts w:ascii="Arial" w:hAnsi="Arial" w:cs="Arial"/>
                <w:b/>
              </w:rPr>
            </w:pPr>
            <w:r w:rsidRPr="002954A6">
              <w:rPr>
                <w:rFonts w:ascii="Arial" w:hAnsi="Arial" w:cs="Arial"/>
                <w:b/>
              </w:rPr>
              <w:t>Chosen approach</w:t>
            </w:r>
          </w:p>
        </w:tc>
        <w:tc>
          <w:tcPr>
            <w:tcW w:w="3402" w:type="dxa"/>
            <w:tcMar>
              <w:top w:w="57" w:type="dxa"/>
              <w:bottom w:w="57" w:type="dxa"/>
            </w:tcMar>
          </w:tcPr>
          <w:p w:rsidR="00FD3AD8" w:rsidRPr="002954A6" w:rsidRDefault="00FD3AD8" w:rsidP="00975090">
            <w:pPr>
              <w:rPr>
                <w:rFonts w:ascii="Arial" w:hAnsi="Arial" w:cs="Arial"/>
              </w:rPr>
            </w:pPr>
            <w:r w:rsidRPr="002954A6">
              <w:rPr>
                <w:rFonts w:ascii="Arial" w:hAnsi="Arial" w:cs="Arial"/>
                <w:b/>
              </w:rPr>
              <w:t xml:space="preserve">Estimated impact: </w:t>
            </w:r>
          </w:p>
        </w:tc>
        <w:tc>
          <w:tcPr>
            <w:tcW w:w="5358" w:type="dxa"/>
            <w:tcMar>
              <w:top w:w="57" w:type="dxa"/>
              <w:bottom w:w="57" w:type="dxa"/>
            </w:tcMar>
          </w:tcPr>
          <w:p w:rsidR="00FD3AD8" w:rsidRPr="002954A6" w:rsidRDefault="00FD3AD8" w:rsidP="00975090">
            <w:pPr>
              <w:rPr>
                <w:rFonts w:ascii="Arial" w:hAnsi="Arial" w:cs="Arial"/>
                <w:b/>
              </w:rPr>
            </w:pPr>
            <w:r w:rsidRPr="002954A6">
              <w:rPr>
                <w:rFonts w:ascii="Arial" w:hAnsi="Arial" w:cs="Arial"/>
                <w:b/>
              </w:rPr>
              <w:t xml:space="preserve">Lessons learned </w:t>
            </w:r>
          </w:p>
        </w:tc>
        <w:tc>
          <w:tcPr>
            <w:tcW w:w="1417" w:type="dxa"/>
          </w:tcPr>
          <w:p w:rsidR="00FD3AD8" w:rsidRPr="002954A6" w:rsidRDefault="00FD3AD8" w:rsidP="00975090">
            <w:pPr>
              <w:rPr>
                <w:rFonts w:ascii="Arial" w:hAnsi="Arial" w:cs="Arial"/>
                <w:b/>
                <w:sz w:val="20"/>
                <w:szCs w:val="20"/>
              </w:rPr>
            </w:pPr>
            <w:r w:rsidRPr="002954A6">
              <w:rPr>
                <w:rFonts w:ascii="Arial" w:hAnsi="Arial" w:cs="Arial"/>
                <w:b/>
              </w:rPr>
              <w:t>Cost</w:t>
            </w:r>
          </w:p>
        </w:tc>
      </w:tr>
      <w:tr w:rsidR="00FD3AD8" w:rsidRPr="006C7C85" w:rsidTr="00975090">
        <w:trPr>
          <w:trHeight w:hRule="exact" w:val="3697"/>
        </w:trPr>
        <w:tc>
          <w:tcPr>
            <w:tcW w:w="2235" w:type="dxa"/>
            <w:tcMar>
              <w:top w:w="57" w:type="dxa"/>
              <w:bottom w:w="57" w:type="dxa"/>
            </w:tcMar>
          </w:tcPr>
          <w:p w:rsidR="00FD3AD8" w:rsidRDefault="00FD3AD8" w:rsidP="00975090">
            <w:pPr>
              <w:rPr>
                <w:rFonts w:ascii="Arial" w:hAnsi="Arial" w:cs="Arial"/>
                <w:sz w:val="18"/>
                <w:szCs w:val="18"/>
              </w:rPr>
            </w:pPr>
            <w:r>
              <w:rPr>
                <w:rFonts w:ascii="Arial" w:hAnsi="Arial" w:cs="Arial"/>
                <w:sz w:val="18"/>
                <w:szCs w:val="18"/>
              </w:rPr>
              <w:t xml:space="preserve">To reduce the gender gap of underperforming boys in English </w:t>
            </w: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Pr="006C7C85" w:rsidRDefault="00FD3AD8" w:rsidP="00975090">
            <w:pPr>
              <w:rPr>
                <w:rFonts w:ascii="Arial" w:hAnsi="Arial" w:cs="Arial"/>
                <w:sz w:val="18"/>
                <w:szCs w:val="18"/>
              </w:rPr>
            </w:pPr>
          </w:p>
        </w:tc>
        <w:tc>
          <w:tcPr>
            <w:tcW w:w="2580" w:type="dxa"/>
            <w:tcMar>
              <w:top w:w="57" w:type="dxa"/>
              <w:bottom w:w="57" w:type="dxa"/>
            </w:tcMar>
          </w:tcPr>
          <w:p w:rsidR="00FD3AD8" w:rsidRDefault="00FD3AD8" w:rsidP="00975090">
            <w:pPr>
              <w:pStyle w:val="Default"/>
              <w:rPr>
                <w:color w:val="auto"/>
                <w:sz w:val="18"/>
                <w:szCs w:val="18"/>
              </w:rPr>
            </w:pPr>
            <w:r>
              <w:rPr>
                <w:color w:val="auto"/>
                <w:sz w:val="18"/>
                <w:szCs w:val="18"/>
              </w:rPr>
              <w:t xml:space="preserve">Sept and Oct 2018 INSET time was used to look at the differences in boys and girls learners using the work of Carol </w:t>
            </w:r>
            <w:proofErr w:type="spellStart"/>
            <w:r>
              <w:rPr>
                <w:color w:val="auto"/>
                <w:sz w:val="18"/>
                <w:szCs w:val="18"/>
              </w:rPr>
              <w:t>Dweck</w:t>
            </w:r>
            <w:proofErr w:type="spellEnd"/>
            <w:r>
              <w:rPr>
                <w:color w:val="auto"/>
                <w:sz w:val="18"/>
                <w:szCs w:val="18"/>
              </w:rPr>
              <w:t>, Neil Farmer, Gary Wilson and Sally Featherstone. To provide all staff with an understanding of the different needs of boys learning.</w:t>
            </w:r>
          </w:p>
          <w:p w:rsidR="00FD3AD8" w:rsidRDefault="00FD3AD8" w:rsidP="00975090">
            <w:pPr>
              <w:pStyle w:val="Default"/>
              <w:rPr>
                <w:color w:val="auto"/>
                <w:sz w:val="18"/>
                <w:szCs w:val="18"/>
              </w:rPr>
            </w:pPr>
            <w:r>
              <w:rPr>
                <w:color w:val="auto"/>
                <w:sz w:val="18"/>
                <w:szCs w:val="18"/>
              </w:rPr>
              <w:t>We also used Active Literacy training (Sports Funding) to look at promoting physical activity within learning.</w:t>
            </w:r>
          </w:p>
          <w:p w:rsidR="00FD3AD8" w:rsidRDefault="00FD3AD8" w:rsidP="00975090">
            <w:pPr>
              <w:pStyle w:val="Default"/>
              <w:rPr>
                <w:color w:val="auto"/>
                <w:sz w:val="18"/>
                <w:szCs w:val="18"/>
              </w:rPr>
            </w:pPr>
            <w:r>
              <w:rPr>
                <w:color w:val="auto"/>
                <w:sz w:val="18"/>
                <w:szCs w:val="18"/>
              </w:rPr>
              <w:t xml:space="preserve">All teachers undertook No Nonsense Spelling training to promote the teaching of </w:t>
            </w:r>
          </w:p>
          <w:p w:rsidR="00FD3AD8" w:rsidRDefault="00FD3AD8" w:rsidP="00975090">
            <w:pPr>
              <w:pStyle w:val="Default"/>
              <w:rPr>
                <w:color w:val="auto"/>
                <w:sz w:val="18"/>
                <w:szCs w:val="18"/>
              </w:rPr>
            </w:pPr>
          </w:p>
          <w:p w:rsidR="00FD3AD8" w:rsidRPr="006C7C85" w:rsidRDefault="00FD3AD8" w:rsidP="00975090">
            <w:pPr>
              <w:pStyle w:val="Default"/>
              <w:rPr>
                <w:color w:val="auto"/>
                <w:sz w:val="18"/>
                <w:szCs w:val="18"/>
              </w:rPr>
            </w:pPr>
          </w:p>
        </w:tc>
        <w:tc>
          <w:tcPr>
            <w:tcW w:w="3402" w:type="dxa"/>
            <w:tcMar>
              <w:top w:w="57" w:type="dxa"/>
              <w:bottom w:w="57" w:type="dxa"/>
            </w:tcMar>
          </w:tcPr>
          <w:p w:rsidR="00FD3AD8" w:rsidRDefault="00FD3AD8" w:rsidP="00975090">
            <w:pPr>
              <w:pStyle w:val="Default"/>
              <w:rPr>
                <w:sz w:val="18"/>
                <w:szCs w:val="18"/>
              </w:rPr>
            </w:pPr>
            <w:r>
              <w:rPr>
                <w:sz w:val="18"/>
                <w:szCs w:val="18"/>
              </w:rPr>
              <w:t>All staff are more aware of the developmental differences between boys and girls and the need to adapt an approach.</w:t>
            </w:r>
          </w:p>
          <w:p w:rsidR="00FD3AD8" w:rsidRDefault="00FD3AD8" w:rsidP="00975090">
            <w:pPr>
              <w:pStyle w:val="Default"/>
              <w:rPr>
                <w:sz w:val="18"/>
                <w:szCs w:val="18"/>
              </w:rPr>
            </w:pPr>
            <w:r>
              <w:rPr>
                <w:sz w:val="18"/>
                <w:szCs w:val="18"/>
              </w:rPr>
              <w:t>The spelling approach has more consistency across the school using both Letters and Sounds and No Nonsense Spelling. In Nov 2018 16 Y4 children had a SA of 10+, in June 22 children scored 10+</w:t>
            </w:r>
          </w:p>
          <w:p w:rsidR="00FD3AD8" w:rsidRPr="00A33F73" w:rsidRDefault="00FD3AD8" w:rsidP="00975090">
            <w:pPr>
              <w:pStyle w:val="Default"/>
              <w:rPr>
                <w:sz w:val="18"/>
                <w:szCs w:val="18"/>
              </w:rPr>
            </w:pPr>
            <w:r>
              <w:rPr>
                <w:sz w:val="18"/>
                <w:szCs w:val="18"/>
              </w:rPr>
              <w:t>The gender gap across Y1 – 4 in July 2018 for reading was 14% in July 2019 it was 9%. In writing it had reduced from 24% to 16%. Rates of progress for the genders were similar -</w:t>
            </w:r>
          </w:p>
        </w:tc>
        <w:tc>
          <w:tcPr>
            <w:tcW w:w="5358" w:type="dxa"/>
            <w:tcMar>
              <w:top w:w="57" w:type="dxa"/>
              <w:bottom w:w="57" w:type="dxa"/>
            </w:tcMar>
          </w:tcPr>
          <w:p w:rsidR="00FD3AD8" w:rsidRDefault="00FD3AD8" w:rsidP="00975090">
            <w:pPr>
              <w:pStyle w:val="Default"/>
              <w:rPr>
                <w:color w:val="auto"/>
                <w:sz w:val="18"/>
                <w:szCs w:val="18"/>
              </w:rPr>
            </w:pPr>
            <w:r>
              <w:rPr>
                <w:color w:val="auto"/>
                <w:sz w:val="18"/>
                <w:szCs w:val="18"/>
              </w:rPr>
              <w:t>We are continuing to identify differences in gender outcomes, in particular for English. Outcomes for writing within GTAT is a focus for GTAT as a whole.</w:t>
            </w:r>
          </w:p>
          <w:p w:rsidR="00FD3AD8" w:rsidRDefault="00FD3AD8" w:rsidP="00975090">
            <w:pPr>
              <w:pStyle w:val="Default"/>
              <w:rPr>
                <w:color w:val="auto"/>
                <w:sz w:val="18"/>
                <w:szCs w:val="18"/>
              </w:rPr>
            </w:pPr>
            <w:r>
              <w:rPr>
                <w:color w:val="auto"/>
                <w:sz w:val="18"/>
                <w:szCs w:val="18"/>
              </w:rPr>
              <w:t xml:space="preserve">Greater understanding of boy’s development will continue to sit within the teaching and learning element of the SDP – GTAT are working directly with Gary Wilson </w:t>
            </w:r>
            <w:proofErr w:type="gramStart"/>
            <w:r>
              <w:rPr>
                <w:color w:val="auto"/>
                <w:sz w:val="18"/>
                <w:szCs w:val="18"/>
              </w:rPr>
              <w:t>-  to</w:t>
            </w:r>
            <w:proofErr w:type="gramEnd"/>
            <w:r>
              <w:rPr>
                <w:color w:val="auto"/>
                <w:sz w:val="18"/>
                <w:szCs w:val="18"/>
              </w:rPr>
              <w:t xml:space="preserve"> ensure that the provision offered to boys is best practice.</w:t>
            </w:r>
          </w:p>
          <w:p w:rsidR="00FD3AD8" w:rsidRDefault="00FD3AD8" w:rsidP="00975090">
            <w:pPr>
              <w:pStyle w:val="Default"/>
              <w:rPr>
                <w:color w:val="auto"/>
                <w:sz w:val="18"/>
                <w:szCs w:val="18"/>
              </w:rPr>
            </w:pPr>
          </w:p>
          <w:p w:rsidR="00FD3AD8" w:rsidRDefault="00FD3AD8" w:rsidP="00975090">
            <w:pPr>
              <w:pStyle w:val="Default"/>
              <w:rPr>
                <w:color w:val="auto"/>
                <w:sz w:val="18"/>
                <w:szCs w:val="18"/>
              </w:rPr>
            </w:pPr>
            <w:r>
              <w:rPr>
                <w:color w:val="auto"/>
                <w:sz w:val="18"/>
                <w:szCs w:val="18"/>
              </w:rPr>
              <w:t>The school approach to spelling will be revisited within the SDP following a School Peer Review visit that highlighted good practice but an opportunity to make marking and feedback more effective.</w:t>
            </w: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Pr="006C7C85" w:rsidRDefault="00FD3AD8" w:rsidP="00975090">
            <w:pPr>
              <w:pStyle w:val="Default"/>
              <w:rPr>
                <w:color w:val="auto"/>
                <w:sz w:val="18"/>
                <w:szCs w:val="18"/>
              </w:rPr>
            </w:pPr>
            <w:r>
              <w:rPr>
                <w:color w:val="auto"/>
                <w:sz w:val="18"/>
                <w:szCs w:val="18"/>
              </w:rPr>
              <w:t xml:space="preserve"> </w:t>
            </w:r>
          </w:p>
        </w:tc>
        <w:tc>
          <w:tcPr>
            <w:tcW w:w="1417" w:type="dxa"/>
          </w:tcPr>
          <w:p w:rsidR="00FD3AD8" w:rsidRPr="006C7C85" w:rsidRDefault="00FD3AD8" w:rsidP="00975090">
            <w:pPr>
              <w:rPr>
                <w:rFonts w:ascii="Arial" w:hAnsi="Arial" w:cs="Arial"/>
                <w:sz w:val="18"/>
                <w:szCs w:val="18"/>
              </w:rPr>
            </w:pPr>
            <w:r>
              <w:rPr>
                <w:rFonts w:ascii="Arial" w:hAnsi="Arial" w:cs="Arial"/>
                <w:sz w:val="18"/>
                <w:szCs w:val="18"/>
              </w:rPr>
              <w:t>£0</w:t>
            </w:r>
          </w:p>
        </w:tc>
      </w:tr>
      <w:tr w:rsidR="00FD3AD8" w:rsidRPr="006C7C85" w:rsidTr="00975090">
        <w:trPr>
          <w:trHeight w:hRule="exact" w:val="1910"/>
        </w:trPr>
        <w:tc>
          <w:tcPr>
            <w:tcW w:w="2235" w:type="dxa"/>
            <w:tcMar>
              <w:top w:w="57" w:type="dxa"/>
              <w:bottom w:w="57" w:type="dxa"/>
            </w:tcMar>
          </w:tcPr>
          <w:p w:rsidR="00FD3AD8" w:rsidRDefault="00FD3AD8" w:rsidP="00975090">
            <w:pPr>
              <w:rPr>
                <w:rFonts w:ascii="Arial" w:hAnsi="Arial" w:cs="Arial"/>
                <w:sz w:val="18"/>
                <w:szCs w:val="18"/>
              </w:rPr>
            </w:pPr>
          </w:p>
        </w:tc>
        <w:tc>
          <w:tcPr>
            <w:tcW w:w="2580" w:type="dxa"/>
            <w:tcMar>
              <w:top w:w="57" w:type="dxa"/>
              <w:bottom w:w="57" w:type="dxa"/>
            </w:tcMar>
          </w:tcPr>
          <w:p w:rsidR="00FD3AD8" w:rsidRDefault="00FD3AD8" w:rsidP="00975090">
            <w:pPr>
              <w:pStyle w:val="Default"/>
              <w:rPr>
                <w:color w:val="auto"/>
                <w:sz w:val="18"/>
                <w:szCs w:val="18"/>
              </w:rPr>
            </w:pPr>
            <w:proofErr w:type="gramStart"/>
            <w:r>
              <w:rPr>
                <w:color w:val="auto"/>
                <w:sz w:val="18"/>
                <w:szCs w:val="18"/>
              </w:rPr>
              <w:t>spelling</w:t>
            </w:r>
            <w:proofErr w:type="gramEnd"/>
            <w:r>
              <w:rPr>
                <w:color w:val="auto"/>
                <w:sz w:val="18"/>
                <w:szCs w:val="18"/>
              </w:rPr>
              <w:t>.</w:t>
            </w:r>
          </w:p>
          <w:p w:rsidR="00FD3AD8" w:rsidRDefault="00FD3AD8" w:rsidP="00975090">
            <w:pPr>
              <w:pStyle w:val="Default"/>
              <w:rPr>
                <w:color w:val="auto"/>
                <w:sz w:val="18"/>
                <w:szCs w:val="18"/>
              </w:rPr>
            </w:pPr>
            <w:r>
              <w:rPr>
                <w:color w:val="auto"/>
                <w:sz w:val="18"/>
                <w:szCs w:val="18"/>
              </w:rPr>
              <w:t>Parent spelling workshop in Autumn 2018 was well attended.</w:t>
            </w:r>
          </w:p>
          <w:p w:rsidR="00FD3AD8" w:rsidRDefault="00FD3AD8" w:rsidP="00975090">
            <w:pPr>
              <w:pStyle w:val="Default"/>
              <w:rPr>
                <w:color w:val="auto"/>
                <w:sz w:val="18"/>
                <w:szCs w:val="18"/>
              </w:rPr>
            </w:pPr>
            <w:r>
              <w:rPr>
                <w:color w:val="auto"/>
                <w:sz w:val="18"/>
                <w:szCs w:val="18"/>
              </w:rPr>
              <w:t>Short reading workshop presented to parents on the back of the open afternoons</w:t>
            </w:r>
          </w:p>
        </w:tc>
        <w:tc>
          <w:tcPr>
            <w:tcW w:w="3402" w:type="dxa"/>
            <w:tcMar>
              <w:top w:w="57" w:type="dxa"/>
              <w:bottom w:w="57" w:type="dxa"/>
            </w:tcMar>
          </w:tcPr>
          <w:p w:rsidR="00FD3AD8" w:rsidRDefault="00FD3AD8" w:rsidP="00975090">
            <w:pPr>
              <w:pStyle w:val="Default"/>
              <w:rPr>
                <w:sz w:val="18"/>
                <w:szCs w:val="18"/>
              </w:rPr>
            </w:pPr>
          </w:p>
          <w:p w:rsidR="00FD3AD8" w:rsidRDefault="00FD3AD8" w:rsidP="00975090">
            <w:pPr>
              <w:pStyle w:val="Default"/>
              <w:rPr>
                <w:sz w:val="18"/>
                <w:szCs w:val="18"/>
              </w:rPr>
            </w:pPr>
          </w:p>
          <w:p w:rsidR="00FD3AD8" w:rsidRDefault="00FD3AD8" w:rsidP="00975090">
            <w:pPr>
              <w:pStyle w:val="Default"/>
              <w:rPr>
                <w:sz w:val="18"/>
                <w:szCs w:val="18"/>
              </w:rPr>
            </w:pPr>
          </w:p>
          <w:p w:rsidR="00FD3AD8" w:rsidRDefault="00FD3AD8" w:rsidP="00975090">
            <w:pPr>
              <w:pStyle w:val="Default"/>
              <w:rPr>
                <w:sz w:val="18"/>
                <w:szCs w:val="18"/>
              </w:rPr>
            </w:pPr>
          </w:p>
          <w:p w:rsidR="00FD3AD8" w:rsidRPr="00A33F73" w:rsidRDefault="00FD3AD8" w:rsidP="00975090">
            <w:pPr>
              <w:pStyle w:val="Default"/>
              <w:rPr>
                <w:sz w:val="18"/>
                <w:szCs w:val="18"/>
              </w:rPr>
            </w:pPr>
            <w:r>
              <w:rPr>
                <w:sz w:val="18"/>
                <w:szCs w:val="18"/>
              </w:rPr>
              <w:t>Over 80% of parents were in attendance. Reading outcomes across the school remain strong. The amount of recorded home reading is still inconsistent</w:t>
            </w:r>
          </w:p>
        </w:tc>
        <w:tc>
          <w:tcPr>
            <w:tcW w:w="5358" w:type="dxa"/>
            <w:tcMar>
              <w:top w:w="57" w:type="dxa"/>
              <w:bottom w:w="57" w:type="dxa"/>
            </w:tcMar>
          </w:tcPr>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Pr="006C7C85" w:rsidRDefault="00FD3AD8" w:rsidP="00975090">
            <w:pPr>
              <w:pStyle w:val="Default"/>
              <w:rPr>
                <w:color w:val="auto"/>
                <w:sz w:val="18"/>
                <w:szCs w:val="18"/>
              </w:rPr>
            </w:pPr>
            <w:r>
              <w:rPr>
                <w:color w:val="auto"/>
                <w:sz w:val="18"/>
                <w:szCs w:val="18"/>
              </w:rPr>
              <w:t>Ensuring that reading at home is given priority by parents remains a focus due to inconsistency</w:t>
            </w:r>
          </w:p>
        </w:tc>
        <w:tc>
          <w:tcPr>
            <w:tcW w:w="1417" w:type="dxa"/>
          </w:tcPr>
          <w:p w:rsidR="00FD3AD8" w:rsidRPr="006C7C85" w:rsidRDefault="00FD3AD8" w:rsidP="00975090">
            <w:pPr>
              <w:rPr>
                <w:rFonts w:ascii="Arial" w:hAnsi="Arial" w:cs="Arial"/>
                <w:sz w:val="18"/>
                <w:szCs w:val="18"/>
              </w:rPr>
            </w:pPr>
          </w:p>
        </w:tc>
      </w:tr>
      <w:tr w:rsidR="00FD3AD8" w:rsidRPr="002954A6" w:rsidTr="00975090">
        <w:trPr>
          <w:trHeight w:hRule="exact" w:val="312"/>
        </w:trPr>
        <w:tc>
          <w:tcPr>
            <w:tcW w:w="14992" w:type="dxa"/>
            <w:gridSpan w:val="5"/>
            <w:tcMar>
              <w:top w:w="57" w:type="dxa"/>
              <w:bottom w:w="57" w:type="dxa"/>
            </w:tcMar>
          </w:tcPr>
          <w:p w:rsidR="00FD3AD8" w:rsidRPr="002954A6" w:rsidRDefault="00FD3AD8" w:rsidP="00FD3AD8">
            <w:pPr>
              <w:pStyle w:val="ListParagraph"/>
              <w:numPr>
                <w:ilvl w:val="0"/>
                <w:numId w:val="1"/>
              </w:numPr>
              <w:ind w:left="426" w:hanging="142"/>
              <w:rPr>
                <w:rFonts w:ascii="Arial" w:hAnsi="Arial" w:cs="Arial"/>
                <w:b/>
              </w:rPr>
            </w:pPr>
            <w:r w:rsidRPr="002954A6">
              <w:rPr>
                <w:rFonts w:ascii="Arial" w:hAnsi="Arial" w:cs="Arial"/>
                <w:b/>
              </w:rPr>
              <w:t>Targeted support</w:t>
            </w:r>
          </w:p>
        </w:tc>
      </w:tr>
      <w:tr w:rsidR="00FD3AD8" w:rsidRPr="002954A6" w:rsidTr="00975090">
        <w:tc>
          <w:tcPr>
            <w:tcW w:w="2235" w:type="dxa"/>
            <w:tcMar>
              <w:top w:w="57" w:type="dxa"/>
              <w:bottom w:w="57" w:type="dxa"/>
            </w:tcMar>
          </w:tcPr>
          <w:p w:rsidR="00FD3AD8" w:rsidRPr="002954A6" w:rsidRDefault="00FD3AD8" w:rsidP="00975090">
            <w:pPr>
              <w:rPr>
                <w:rFonts w:ascii="Arial" w:hAnsi="Arial" w:cs="Arial"/>
                <w:b/>
              </w:rPr>
            </w:pPr>
            <w:r w:rsidRPr="002954A6">
              <w:rPr>
                <w:rFonts w:ascii="Arial" w:hAnsi="Arial" w:cs="Arial"/>
                <w:b/>
              </w:rPr>
              <w:t>Desired outcome</w:t>
            </w:r>
          </w:p>
        </w:tc>
        <w:tc>
          <w:tcPr>
            <w:tcW w:w="2580" w:type="dxa"/>
            <w:tcMar>
              <w:top w:w="57" w:type="dxa"/>
              <w:bottom w:w="57" w:type="dxa"/>
            </w:tcMar>
          </w:tcPr>
          <w:p w:rsidR="00FD3AD8" w:rsidRPr="002954A6" w:rsidRDefault="00FD3AD8" w:rsidP="00975090">
            <w:pPr>
              <w:rPr>
                <w:rFonts w:ascii="Arial" w:hAnsi="Arial" w:cs="Arial"/>
                <w:b/>
              </w:rPr>
            </w:pPr>
            <w:r w:rsidRPr="002954A6">
              <w:rPr>
                <w:rFonts w:ascii="Arial" w:hAnsi="Arial" w:cs="Arial"/>
                <w:b/>
              </w:rPr>
              <w:t>Chosen action/approach</w:t>
            </w:r>
          </w:p>
        </w:tc>
        <w:tc>
          <w:tcPr>
            <w:tcW w:w="3402" w:type="dxa"/>
            <w:tcMar>
              <w:top w:w="57" w:type="dxa"/>
              <w:bottom w:w="57" w:type="dxa"/>
            </w:tcMar>
          </w:tcPr>
          <w:p w:rsidR="00FD3AD8" w:rsidRPr="002954A6" w:rsidRDefault="00FD3AD8" w:rsidP="00975090">
            <w:pPr>
              <w:rPr>
                <w:rFonts w:ascii="Arial" w:hAnsi="Arial" w:cs="Arial"/>
              </w:rPr>
            </w:pPr>
            <w:r w:rsidRPr="002954A6">
              <w:rPr>
                <w:rFonts w:ascii="Arial" w:hAnsi="Arial" w:cs="Arial"/>
                <w:b/>
              </w:rPr>
              <w:t xml:space="preserve">Estimated impact: </w:t>
            </w:r>
          </w:p>
        </w:tc>
        <w:tc>
          <w:tcPr>
            <w:tcW w:w="5358" w:type="dxa"/>
            <w:tcMar>
              <w:top w:w="57" w:type="dxa"/>
              <w:bottom w:w="57" w:type="dxa"/>
            </w:tcMar>
          </w:tcPr>
          <w:p w:rsidR="00FD3AD8" w:rsidRPr="002954A6" w:rsidRDefault="00FD3AD8" w:rsidP="00975090">
            <w:pPr>
              <w:rPr>
                <w:rFonts w:ascii="Arial" w:hAnsi="Arial" w:cs="Arial"/>
                <w:b/>
              </w:rPr>
            </w:pPr>
            <w:r w:rsidRPr="002954A6">
              <w:rPr>
                <w:rFonts w:ascii="Arial" w:hAnsi="Arial" w:cs="Arial"/>
                <w:b/>
              </w:rPr>
              <w:t xml:space="preserve">Lessons learned </w:t>
            </w:r>
          </w:p>
          <w:p w:rsidR="00FD3AD8" w:rsidRPr="002954A6" w:rsidRDefault="00FD3AD8" w:rsidP="00975090">
            <w:pPr>
              <w:rPr>
                <w:rFonts w:ascii="Arial" w:hAnsi="Arial" w:cs="Arial"/>
                <w:b/>
              </w:rPr>
            </w:pPr>
            <w:r w:rsidRPr="002954A6">
              <w:rPr>
                <w:rFonts w:ascii="Arial" w:hAnsi="Arial" w:cs="Arial"/>
              </w:rPr>
              <w:t>(and whether you will continue with this approach)</w:t>
            </w:r>
          </w:p>
        </w:tc>
        <w:tc>
          <w:tcPr>
            <w:tcW w:w="1417" w:type="dxa"/>
          </w:tcPr>
          <w:p w:rsidR="00FD3AD8" w:rsidRPr="002954A6" w:rsidRDefault="00FD3AD8" w:rsidP="00975090">
            <w:pPr>
              <w:rPr>
                <w:rFonts w:ascii="Arial" w:hAnsi="Arial" w:cs="Arial"/>
                <w:b/>
              </w:rPr>
            </w:pPr>
            <w:r w:rsidRPr="002954A6">
              <w:rPr>
                <w:rFonts w:ascii="Arial" w:hAnsi="Arial" w:cs="Arial"/>
                <w:b/>
              </w:rPr>
              <w:t>Cost</w:t>
            </w:r>
          </w:p>
        </w:tc>
      </w:tr>
      <w:tr w:rsidR="00FD3AD8" w:rsidRPr="006C7C85" w:rsidTr="00975090">
        <w:trPr>
          <w:trHeight w:hRule="exact" w:val="7443"/>
        </w:trPr>
        <w:tc>
          <w:tcPr>
            <w:tcW w:w="2235" w:type="dxa"/>
            <w:tcMar>
              <w:top w:w="57" w:type="dxa"/>
              <w:bottom w:w="57" w:type="dxa"/>
            </w:tcMar>
          </w:tcPr>
          <w:p w:rsidR="00FD3AD8" w:rsidRDefault="00FD3AD8" w:rsidP="00975090">
            <w:pPr>
              <w:rPr>
                <w:rFonts w:ascii="Arial" w:hAnsi="Arial" w:cs="Arial"/>
                <w:sz w:val="18"/>
                <w:szCs w:val="18"/>
              </w:rPr>
            </w:pPr>
            <w:r w:rsidRPr="002957FF">
              <w:rPr>
                <w:rFonts w:ascii="Arial" w:hAnsi="Arial" w:cs="Arial"/>
                <w:sz w:val="18"/>
                <w:szCs w:val="18"/>
              </w:rPr>
              <w:lastRenderedPageBreak/>
              <w:t xml:space="preserve">Pupils achieve an ARE in English with a </w:t>
            </w:r>
            <w:r>
              <w:rPr>
                <w:rFonts w:ascii="Arial" w:hAnsi="Arial" w:cs="Arial"/>
                <w:sz w:val="18"/>
                <w:szCs w:val="18"/>
              </w:rPr>
              <w:t>specific focus on acquisition of good CLL in EYFS and Phonics in EYFS, Y1 and Y2</w:t>
            </w: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r>
              <w:rPr>
                <w:rFonts w:ascii="Arial" w:hAnsi="Arial" w:cs="Arial"/>
                <w:sz w:val="18"/>
                <w:szCs w:val="18"/>
              </w:rPr>
              <w:t>Ensuring that pupils in KS2 remain on track for an ARE at the end of KS2 identifying dips in progress from prior attainment, ensuring that support or intervention is in place</w:t>
            </w: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r>
              <w:rPr>
                <w:rFonts w:ascii="Arial" w:hAnsi="Arial" w:cs="Arial"/>
                <w:sz w:val="18"/>
                <w:szCs w:val="18"/>
              </w:rPr>
              <w:t>Support children with home reading/learning tasks</w:t>
            </w: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Pr="006C7C85" w:rsidRDefault="00FD3AD8" w:rsidP="00975090">
            <w:pPr>
              <w:rPr>
                <w:rFonts w:ascii="Arial" w:hAnsi="Arial" w:cs="Arial"/>
                <w:sz w:val="18"/>
                <w:szCs w:val="18"/>
              </w:rPr>
            </w:pPr>
          </w:p>
        </w:tc>
        <w:tc>
          <w:tcPr>
            <w:tcW w:w="2580" w:type="dxa"/>
            <w:tcMar>
              <w:top w:w="57" w:type="dxa"/>
              <w:bottom w:w="57" w:type="dxa"/>
            </w:tcMar>
          </w:tcPr>
          <w:p w:rsidR="00FD3AD8" w:rsidRDefault="00FD3AD8" w:rsidP="00975090">
            <w:pPr>
              <w:rPr>
                <w:rFonts w:ascii="Arial" w:hAnsi="Arial" w:cs="Arial"/>
                <w:sz w:val="18"/>
                <w:szCs w:val="18"/>
              </w:rPr>
            </w:pPr>
            <w:r>
              <w:rPr>
                <w:rFonts w:ascii="Arial" w:hAnsi="Arial" w:cs="Arial"/>
                <w:sz w:val="18"/>
                <w:szCs w:val="18"/>
              </w:rPr>
              <w:t xml:space="preserve">TA support each morning in all classes – YR TA support all day. Maths and English discrete lessons taught in the mornings. Target groups and intervention groups are taught by </w:t>
            </w:r>
            <w:proofErr w:type="spellStart"/>
            <w:r>
              <w:rPr>
                <w:rFonts w:ascii="Arial" w:hAnsi="Arial" w:cs="Arial"/>
                <w:sz w:val="18"/>
                <w:szCs w:val="18"/>
              </w:rPr>
              <w:t>classteacher</w:t>
            </w:r>
            <w:proofErr w:type="spellEnd"/>
            <w:r>
              <w:rPr>
                <w:rFonts w:ascii="Arial" w:hAnsi="Arial" w:cs="Arial"/>
                <w:sz w:val="18"/>
                <w:szCs w:val="18"/>
              </w:rPr>
              <w:t xml:space="preserve"> and </w:t>
            </w:r>
            <w:proofErr w:type="spellStart"/>
            <w:r>
              <w:rPr>
                <w:rFonts w:ascii="Arial" w:hAnsi="Arial" w:cs="Arial"/>
                <w:sz w:val="18"/>
                <w:szCs w:val="18"/>
              </w:rPr>
              <w:t>TAs.</w:t>
            </w:r>
            <w:proofErr w:type="spellEnd"/>
          </w:p>
          <w:p w:rsidR="00FD3AD8" w:rsidRDefault="00FD3AD8" w:rsidP="00975090">
            <w:pPr>
              <w:rPr>
                <w:rFonts w:ascii="Arial" w:hAnsi="Arial" w:cs="Arial"/>
                <w:sz w:val="18"/>
                <w:szCs w:val="18"/>
              </w:rPr>
            </w:pPr>
            <w:r>
              <w:rPr>
                <w:rFonts w:ascii="Arial" w:hAnsi="Arial" w:cs="Arial"/>
                <w:sz w:val="18"/>
                <w:szCs w:val="18"/>
              </w:rPr>
              <w:t>Afternoons used for 2 TAs to deliver FFT Reading recovery and ECC. T2 TAs deliver specific teacher planned interventions</w:t>
            </w: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r>
              <w:rPr>
                <w:rFonts w:ascii="Arial" w:hAnsi="Arial" w:cs="Arial"/>
                <w:sz w:val="18"/>
                <w:szCs w:val="18"/>
              </w:rPr>
              <w:t>Additional staffing was put into the afterschool provision to enable staff to support reading</w:t>
            </w: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Pr="006C7C85" w:rsidRDefault="00FD3AD8" w:rsidP="00975090">
            <w:pPr>
              <w:rPr>
                <w:rFonts w:ascii="Arial" w:hAnsi="Arial" w:cs="Arial"/>
                <w:sz w:val="18"/>
                <w:szCs w:val="18"/>
              </w:rPr>
            </w:pPr>
          </w:p>
        </w:tc>
        <w:tc>
          <w:tcPr>
            <w:tcW w:w="3402" w:type="dxa"/>
            <w:tcMar>
              <w:top w:w="57" w:type="dxa"/>
              <w:bottom w:w="57" w:type="dxa"/>
            </w:tcMar>
          </w:tcPr>
          <w:p w:rsidR="00FD3AD8" w:rsidRDefault="00FD3AD8" w:rsidP="00975090">
            <w:pPr>
              <w:pStyle w:val="Default"/>
              <w:rPr>
                <w:color w:val="auto"/>
                <w:sz w:val="18"/>
                <w:szCs w:val="18"/>
              </w:rPr>
            </w:pPr>
            <w:r>
              <w:rPr>
                <w:color w:val="auto"/>
                <w:sz w:val="18"/>
                <w:szCs w:val="18"/>
              </w:rPr>
              <w:t xml:space="preserve">In YR the % achieving a GLD is above local and national outcomes. Y1 92% reached the expected mark for the phonics check. Y2 90% reached expected standard for reading and 77% for writing. In Y4 the </w:t>
            </w:r>
            <w:proofErr w:type="spellStart"/>
            <w:r>
              <w:rPr>
                <w:color w:val="auto"/>
                <w:sz w:val="18"/>
                <w:szCs w:val="18"/>
              </w:rPr>
              <w:t>ave</w:t>
            </w:r>
            <w:proofErr w:type="spellEnd"/>
            <w:r>
              <w:rPr>
                <w:color w:val="auto"/>
                <w:sz w:val="18"/>
                <w:szCs w:val="18"/>
              </w:rPr>
              <w:t xml:space="preserve"> GL score was 114 for reading with 81% achieving an ARE.</w:t>
            </w:r>
          </w:p>
          <w:p w:rsidR="00FD3AD8" w:rsidRDefault="00FD3AD8" w:rsidP="00975090">
            <w:pPr>
              <w:pStyle w:val="Default"/>
              <w:rPr>
                <w:color w:val="auto"/>
                <w:sz w:val="18"/>
                <w:szCs w:val="18"/>
              </w:rPr>
            </w:pPr>
            <w:r>
              <w:rPr>
                <w:color w:val="auto"/>
                <w:sz w:val="18"/>
                <w:szCs w:val="18"/>
              </w:rPr>
              <w:t>The children in Y4 doing FFT made over 2 years gain in their RA.</w:t>
            </w:r>
          </w:p>
          <w:p w:rsidR="00FD3AD8" w:rsidRDefault="00FD3AD8" w:rsidP="00975090">
            <w:pPr>
              <w:pStyle w:val="Default"/>
              <w:rPr>
                <w:color w:val="auto"/>
                <w:sz w:val="18"/>
                <w:szCs w:val="18"/>
              </w:rPr>
            </w:pPr>
            <w:r>
              <w:rPr>
                <w:color w:val="auto"/>
                <w:sz w:val="18"/>
                <w:szCs w:val="18"/>
              </w:rPr>
              <w:t>Progress outcomes for children are positive with over 90% of children making a year of progress.</w:t>
            </w: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Pr="006C7C85" w:rsidRDefault="00FD3AD8" w:rsidP="00975090">
            <w:pPr>
              <w:pStyle w:val="Default"/>
              <w:rPr>
                <w:color w:val="auto"/>
                <w:sz w:val="18"/>
                <w:szCs w:val="18"/>
              </w:rPr>
            </w:pPr>
            <w:r>
              <w:rPr>
                <w:color w:val="auto"/>
                <w:sz w:val="18"/>
                <w:szCs w:val="18"/>
              </w:rPr>
              <w:t>Children had the opportunity to complete home reading diaries within the setting</w:t>
            </w:r>
          </w:p>
        </w:tc>
        <w:tc>
          <w:tcPr>
            <w:tcW w:w="5358" w:type="dxa"/>
            <w:tcMar>
              <w:top w:w="57" w:type="dxa"/>
              <w:bottom w:w="57" w:type="dxa"/>
            </w:tcMar>
          </w:tcPr>
          <w:p w:rsidR="00FD3AD8" w:rsidRDefault="00FD3AD8" w:rsidP="00975090">
            <w:pPr>
              <w:rPr>
                <w:rFonts w:ascii="Arial" w:hAnsi="Arial" w:cs="Arial"/>
                <w:sz w:val="18"/>
                <w:szCs w:val="18"/>
              </w:rPr>
            </w:pPr>
            <w:r>
              <w:rPr>
                <w:rFonts w:ascii="Arial" w:hAnsi="Arial" w:cs="Arial"/>
                <w:sz w:val="18"/>
                <w:szCs w:val="18"/>
              </w:rPr>
              <w:t xml:space="preserve">The school’s intervention programme is effective, well targeted by </w:t>
            </w:r>
            <w:proofErr w:type="spellStart"/>
            <w:r>
              <w:rPr>
                <w:rFonts w:ascii="Arial" w:hAnsi="Arial" w:cs="Arial"/>
                <w:sz w:val="18"/>
                <w:szCs w:val="18"/>
              </w:rPr>
              <w:t>classteachers</w:t>
            </w:r>
            <w:proofErr w:type="spellEnd"/>
            <w:r>
              <w:rPr>
                <w:rFonts w:ascii="Arial" w:hAnsi="Arial" w:cs="Arial"/>
                <w:sz w:val="18"/>
                <w:szCs w:val="18"/>
              </w:rPr>
              <w:t xml:space="preserve"> and well led by the school’s </w:t>
            </w:r>
            <w:proofErr w:type="spellStart"/>
            <w:r>
              <w:rPr>
                <w:rFonts w:ascii="Arial" w:hAnsi="Arial" w:cs="Arial"/>
                <w:sz w:val="18"/>
                <w:szCs w:val="18"/>
              </w:rPr>
              <w:t>SENDCo</w:t>
            </w:r>
            <w:proofErr w:type="spellEnd"/>
            <w:r>
              <w:rPr>
                <w:rFonts w:ascii="Arial" w:hAnsi="Arial" w:cs="Arial"/>
                <w:sz w:val="18"/>
                <w:szCs w:val="18"/>
              </w:rPr>
              <w:t>.</w:t>
            </w:r>
          </w:p>
          <w:p w:rsidR="00FD3AD8" w:rsidRDefault="00FD3AD8" w:rsidP="00975090">
            <w:pPr>
              <w:rPr>
                <w:rFonts w:ascii="Arial" w:hAnsi="Arial" w:cs="Arial"/>
                <w:sz w:val="18"/>
                <w:szCs w:val="18"/>
              </w:rPr>
            </w:pPr>
            <w:r>
              <w:rPr>
                <w:rFonts w:ascii="Arial" w:hAnsi="Arial" w:cs="Arial"/>
                <w:sz w:val="18"/>
                <w:szCs w:val="18"/>
              </w:rPr>
              <w:t>This will be maintained and the LGB has set a budget to support this work</w:t>
            </w: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Pr="006C7C85" w:rsidRDefault="00FD3AD8" w:rsidP="00975090">
            <w:pPr>
              <w:rPr>
                <w:rFonts w:ascii="Arial" w:hAnsi="Arial" w:cs="Arial"/>
                <w:sz w:val="18"/>
                <w:szCs w:val="18"/>
              </w:rPr>
            </w:pPr>
            <w:r>
              <w:rPr>
                <w:rFonts w:ascii="Arial" w:hAnsi="Arial" w:cs="Arial"/>
                <w:sz w:val="18"/>
                <w:szCs w:val="18"/>
              </w:rPr>
              <w:t xml:space="preserve">This will be maintained. The provision is thriving meaning that this is </w:t>
            </w:r>
            <w:proofErr w:type="spellStart"/>
            <w:r>
              <w:rPr>
                <w:rFonts w:ascii="Arial" w:hAnsi="Arial" w:cs="Arial"/>
                <w:sz w:val="18"/>
                <w:szCs w:val="18"/>
              </w:rPr>
              <w:t>self sustaining</w:t>
            </w:r>
            <w:proofErr w:type="spellEnd"/>
          </w:p>
        </w:tc>
        <w:tc>
          <w:tcPr>
            <w:tcW w:w="1417" w:type="dxa"/>
          </w:tcPr>
          <w:p w:rsidR="00FD3AD8" w:rsidRPr="006C7C85" w:rsidRDefault="00FD3AD8" w:rsidP="00975090">
            <w:pPr>
              <w:rPr>
                <w:rFonts w:ascii="Arial" w:hAnsi="Arial" w:cs="Arial"/>
                <w:sz w:val="18"/>
                <w:szCs w:val="18"/>
              </w:rPr>
            </w:pPr>
            <w:r>
              <w:rPr>
                <w:rFonts w:ascii="Arial" w:hAnsi="Arial" w:cs="Arial"/>
                <w:sz w:val="18"/>
                <w:szCs w:val="18"/>
              </w:rPr>
              <w:t>£9125</w:t>
            </w:r>
          </w:p>
        </w:tc>
      </w:tr>
      <w:tr w:rsidR="00FD3AD8" w:rsidRPr="002954A6" w:rsidTr="00975090">
        <w:trPr>
          <w:trHeight w:hRule="exact" w:val="312"/>
        </w:trPr>
        <w:tc>
          <w:tcPr>
            <w:tcW w:w="14992" w:type="dxa"/>
            <w:gridSpan w:val="5"/>
            <w:tcMar>
              <w:top w:w="57" w:type="dxa"/>
              <w:bottom w:w="57" w:type="dxa"/>
            </w:tcMar>
          </w:tcPr>
          <w:p w:rsidR="00FD3AD8" w:rsidRPr="002954A6" w:rsidRDefault="00FD3AD8" w:rsidP="00FD3AD8">
            <w:pPr>
              <w:pStyle w:val="ListParagraph"/>
              <w:numPr>
                <w:ilvl w:val="0"/>
                <w:numId w:val="1"/>
              </w:numPr>
              <w:ind w:left="426" w:hanging="142"/>
              <w:rPr>
                <w:rFonts w:ascii="Arial" w:hAnsi="Arial" w:cs="Arial"/>
                <w:b/>
              </w:rPr>
            </w:pPr>
            <w:r w:rsidRPr="002954A6">
              <w:rPr>
                <w:rFonts w:ascii="Arial" w:hAnsi="Arial" w:cs="Arial"/>
                <w:b/>
              </w:rPr>
              <w:t>Other approaches</w:t>
            </w:r>
          </w:p>
        </w:tc>
      </w:tr>
      <w:tr w:rsidR="00FD3AD8" w:rsidRPr="002954A6" w:rsidTr="00975090">
        <w:tc>
          <w:tcPr>
            <w:tcW w:w="2235" w:type="dxa"/>
            <w:tcMar>
              <w:top w:w="57" w:type="dxa"/>
              <w:bottom w:w="57" w:type="dxa"/>
            </w:tcMar>
          </w:tcPr>
          <w:p w:rsidR="00FD3AD8" w:rsidRPr="002954A6" w:rsidRDefault="00FD3AD8" w:rsidP="00975090">
            <w:pPr>
              <w:rPr>
                <w:rFonts w:ascii="Arial" w:hAnsi="Arial" w:cs="Arial"/>
                <w:b/>
              </w:rPr>
            </w:pPr>
            <w:r w:rsidRPr="002954A6">
              <w:rPr>
                <w:rFonts w:ascii="Arial" w:hAnsi="Arial" w:cs="Arial"/>
                <w:b/>
              </w:rPr>
              <w:t>Desired outcome</w:t>
            </w:r>
          </w:p>
        </w:tc>
        <w:tc>
          <w:tcPr>
            <w:tcW w:w="2580" w:type="dxa"/>
            <w:tcMar>
              <w:top w:w="57" w:type="dxa"/>
              <w:bottom w:w="57" w:type="dxa"/>
            </w:tcMar>
          </w:tcPr>
          <w:p w:rsidR="00FD3AD8" w:rsidRPr="002954A6" w:rsidRDefault="00FD3AD8" w:rsidP="00975090">
            <w:pPr>
              <w:rPr>
                <w:rFonts w:ascii="Arial" w:hAnsi="Arial" w:cs="Arial"/>
                <w:b/>
              </w:rPr>
            </w:pPr>
            <w:r w:rsidRPr="002954A6">
              <w:rPr>
                <w:rFonts w:ascii="Arial" w:hAnsi="Arial" w:cs="Arial"/>
                <w:b/>
              </w:rPr>
              <w:t>Chosen action/approach</w:t>
            </w:r>
          </w:p>
        </w:tc>
        <w:tc>
          <w:tcPr>
            <w:tcW w:w="3402" w:type="dxa"/>
            <w:tcMar>
              <w:top w:w="57" w:type="dxa"/>
              <w:bottom w:w="57" w:type="dxa"/>
            </w:tcMar>
          </w:tcPr>
          <w:p w:rsidR="00FD3AD8" w:rsidRPr="002954A6" w:rsidRDefault="00FD3AD8" w:rsidP="00975090">
            <w:pPr>
              <w:rPr>
                <w:rFonts w:ascii="Arial" w:hAnsi="Arial" w:cs="Arial"/>
              </w:rPr>
            </w:pPr>
            <w:r w:rsidRPr="002954A6">
              <w:rPr>
                <w:rFonts w:ascii="Arial" w:hAnsi="Arial" w:cs="Arial"/>
                <w:b/>
              </w:rPr>
              <w:t xml:space="preserve">Estimated impact: </w:t>
            </w:r>
          </w:p>
        </w:tc>
        <w:tc>
          <w:tcPr>
            <w:tcW w:w="5358" w:type="dxa"/>
            <w:tcMar>
              <w:top w:w="57" w:type="dxa"/>
              <w:bottom w:w="57" w:type="dxa"/>
            </w:tcMar>
          </w:tcPr>
          <w:p w:rsidR="00FD3AD8" w:rsidRPr="002954A6" w:rsidRDefault="00FD3AD8" w:rsidP="00975090">
            <w:pPr>
              <w:rPr>
                <w:rFonts w:ascii="Arial" w:hAnsi="Arial" w:cs="Arial"/>
                <w:b/>
              </w:rPr>
            </w:pPr>
            <w:r w:rsidRPr="002954A6">
              <w:rPr>
                <w:rFonts w:ascii="Arial" w:hAnsi="Arial" w:cs="Arial"/>
                <w:b/>
              </w:rPr>
              <w:t xml:space="preserve">Lessons learned </w:t>
            </w:r>
          </w:p>
          <w:p w:rsidR="00FD3AD8" w:rsidRPr="002954A6" w:rsidRDefault="00FD3AD8" w:rsidP="00975090">
            <w:pPr>
              <w:rPr>
                <w:rFonts w:ascii="Arial" w:hAnsi="Arial" w:cs="Arial"/>
                <w:b/>
              </w:rPr>
            </w:pPr>
            <w:r w:rsidRPr="002954A6">
              <w:rPr>
                <w:rFonts w:ascii="Arial" w:hAnsi="Arial" w:cs="Arial"/>
              </w:rPr>
              <w:t>(and whether you will continue with this approach)</w:t>
            </w:r>
          </w:p>
        </w:tc>
        <w:tc>
          <w:tcPr>
            <w:tcW w:w="1417" w:type="dxa"/>
          </w:tcPr>
          <w:p w:rsidR="00FD3AD8" w:rsidRPr="002954A6" w:rsidRDefault="00FD3AD8" w:rsidP="00975090">
            <w:pPr>
              <w:rPr>
                <w:rFonts w:ascii="Arial" w:hAnsi="Arial" w:cs="Arial"/>
                <w:b/>
              </w:rPr>
            </w:pPr>
            <w:r w:rsidRPr="002954A6">
              <w:rPr>
                <w:rFonts w:ascii="Arial" w:hAnsi="Arial" w:cs="Arial"/>
                <w:b/>
              </w:rPr>
              <w:t>Cost</w:t>
            </w:r>
          </w:p>
        </w:tc>
      </w:tr>
      <w:tr w:rsidR="00FD3AD8" w:rsidRPr="006C7C85" w:rsidTr="00975090">
        <w:trPr>
          <w:trHeight w:hRule="exact" w:val="4320"/>
        </w:trPr>
        <w:tc>
          <w:tcPr>
            <w:tcW w:w="2235" w:type="dxa"/>
            <w:tcMar>
              <w:top w:w="57" w:type="dxa"/>
              <w:bottom w:w="57" w:type="dxa"/>
            </w:tcMar>
          </w:tcPr>
          <w:p w:rsidR="00FD3AD8" w:rsidRDefault="00FD3AD8" w:rsidP="00975090">
            <w:pPr>
              <w:rPr>
                <w:rFonts w:ascii="Arial" w:hAnsi="Arial" w:cs="Arial"/>
                <w:sz w:val="18"/>
                <w:szCs w:val="18"/>
              </w:rPr>
            </w:pPr>
            <w:r>
              <w:rPr>
                <w:rFonts w:ascii="Arial" w:hAnsi="Arial" w:cs="Arial"/>
                <w:sz w:val="18"/>
                <w:szCs w:val="18"/>
              </w:rPr>
              <w:lastRenderedPageBreak/>
              <w:t xml:space="preserve">Support children with emotional needs, </w:t>
            </w:r>
            <w:proofErr w:type="spellStart"/>
            <w:r>
              <w:rPr>
                <w:rFonts w:ascii="Arial" w:hAnsi="Arial" w:cs="Arial"/>
                <w:sz w:val="18"/>
                <w:szCs w:val="18"/>
              </w:rPr>
              <w:t>well being</w:t>
            </w:r>
            <w:proofErr w:type="spellEnd"/>
            <w:r>
              <w:rPr>
                <w:rFonts w:ascii="Arial" w:hAnsi="Arial" w:cs="Arial"/>
                <w:sz w:val="18"/>
                <w:szCs w:val="18"/>
              </w:rPr>
              <w:t xml:space="preserve"> and through transition</w:t>
            </w: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r>
              <w:rPr>
                <w:rFonts w:ascii="Arial" w:hAnsi="Arial" w:cs="Arial"/>
                <w:sz w:val="18"/>
                <w:szCs w:val="18"/>
              </w:rPr>
              <w:t>Ensure that all children have an equal opportunity to participate in school life</w:t>
            </w: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Pr="006C7C85" w:rsidRDefault="00FD3AD8" w:rsidP="00975090">
            <w:pPr>
              <w:rPr>
                <w:rFonts w:ascii="Arial" w:hAnsi="Arial" w:cs="Arial"/>
                <w:sz w:val="18"/>
                <w:szCs w:val="18"/>
              </w:rPr>
            </w:pPr>
            <w:r>
              <w:rPr>
                <w:rFonts w:ascii="Arial" w:hAnsi="Arial" w:cs="Arial"/>
                <w:sz w:val="18"/>
                <w:szCs w:val="18"/>
              </w:rPr>
              <w:t>Ensure that all children have an equal opportunity to participate in school life</w:t>
            </w:r>
          </w:p>
        </w:tc>
        <w:tc>
          <w:tcPr>
            <w:tcW w:w="2580" w:type="dxa"/>
            <w:tcMar>
              <w:top w:w="57" w:type="dxa"/>
              <w:bottom w:w="57" w:type="dxa"/>
            </w:tcMar>
          </w:tcPr>
          <w:p w:rsidR="00FD3AD8" w:rsidRDefault="00FD3AD8" w:rsidP="00975090">
            <w:pPr>
              <w:pStyle w:val="Default"/>
              <w:rPr>
                <w:sz w:val="18"/>
                <w:szCs w:val="18"/>
              </w:rPr>
            </w:pPr>
            <w:r>
              <w:rPr>
                <w:sz w:val="18"/>
                <w:szCs w:val="18"/>
              </w:rPr>
              <w:t>School ELSA provision has been maintained and children access this as needed. Alongside the school nurse support and where needed more specialist support.</w:t>
            </w:r>
          </w:p>
          <w:p w:rsidR="00FD3AD8" w:rsidRDefault="00FD3AD8" w:rsidP="00975090">
            <w:pPr>
              <w:pStyle w:val="Default"/>
              <w:rPr>
                <w:sz w:val="18"/>
                <w:szCs w:val="18"/>
              </w:rPr>
            </w:pPr>
            <w:r>
              <w:rPr>
                <w:sz w:val="18"/>
                <w:szCs w:val="18"/>
              </w:rPr>
              <w:t xml:space="preserve">The school is also adopting Trick Box to run alongside </w:t>
            </w:r>
            <w:proofErr w:type="spellStart"/>
            <w:r>
              <w:rPr>
                <w:sz w:val="18"/>
                <w:szCs w:val="18"/>
              </w:rPr>
              <w:t>JigSaw</w:t>
            </w:r>
            <w:proofErr w:type="spellEnd"/>
          </w:p>
          <w:p w:rsidR="00FD3AD8" w:rsidRDefault="00FD3AD8" w:rsidP="00975090">
            <w:pPr>
              <w:pStyle w:val="Default"/>
              <w:rPr>
                <w:sz w:val="18"/>
                <w:szCs w:val="18"/>
              </w:rPr>
            </w:pPr>
          </w:p>
          <w:p w:rsidR="00FD3AD8" w:rsidRDefault="00FD3AD8" w:rsidP="00975090">
            <w:pPr>
              <w:pStyle w:val="Default"/>
              <w:rPr>
                <w:sz w:val="18"/>
                <w:szCs w:val="18"/>
              </w:rPr>
            </w:pPr>
          </w:p>
          <w:p w:rsidR="00FD3AD8" w:rsidRPr="006C7C85" w:rsidRDefault="00FD3AD8" w:rsidP="00975090">
            <w:pPr>
              <w:pStyle w:val="Default"/>
              <w:rPr>
                <w:sz w:val="18"/>
                <w:szCs w:val="18"/>
              </w:rPr>
            </w:pPr>
            <w:r>
              <w:rPr>
                <w:sz w:val="18"/>
                <w:szCs w:val="18"/>
              </w:rPr>
              <w:t>All clubs are offered at no charge except for Art. All visits are funded through voluntary contributions and FOPS. All parents are informed that ability to pay is not a barrier to attendance and a specific fund is available</w:t>
            </w:r>
          </w:p>
        </w:tc>
        <w:tc>
          <w:tcPr>
            <w:tcW w:w="3402" w:type="dxa"/>
            <w:tcMar>
              <w:top w:w="57" w:type="dxa"/>
              <w:bottom w:w="57" w:type="dxa"/>
            </w:tcMar>
          </w:tcPr>
          <w:p w:rsidR="00FD3AD8" w:rsidRDefault="00FD3AD8" w:rsidP="00975090">
            <w:pPr>
              <w:pStyle w:val="Default"/>
              <w:rPr>
                <w:color w:val="auto"/>
                <w:sz w:val="18"/>
                <w:szCs w:val="18"/>
              </w:rPr>
            </w:pPr>
            <w:r>
              <w:rPr>
                <w:color w:val="auto"/>
                <w:sz w:val="18"/>
                <w:szCs w:val="18"/>
              </w:rPr>
              <w:t>Transition is effective with a programme of support for those identified as being vulnerable</w:t>
            </w: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Default="00FD3AD8" w:rsidP="00975090">
            <w:pPr>
              <w:pStyle w:val="Default"/>
              <w:rPr>
                <w:color w:val="auto"/>
                <w:sz w:val="18"/>
                <w:szCs w:val="18"/>
              </w:rPr>
            </w:pPr>
          </w:p>
          <w:p w:rsidR="00FD3AD8" w:rsidRPr="006C7C85" w:rsidRDefault="00FD3AD8" w:rsidP="00975090">
            <w:pPr>
              <w:pStyle w:val="Default"/>
              <w:rPr>
                <w:color w:val="auto"/>
                <w:sz w:val="18"/>
                <w:szCs w:val="18"/>
              </w:rPr>
            </w:pPr>
            <w:r>
              <w:rPr>
                <w:color w:val="auto"/>
                <w:sz w:val="18"/>
                <w:szCs w:val="18"/>
              </w:rPr>
              <w:t>All children took part in all visits and residential visits unless there were identified behaviour concerns or illness</w:t>
            </w:r>
          </w:p>
        </w:tc>
        <w:tc>
          <w:tcPr>
            <w:tcW w:w="5358" w:type="dxa"/>
            <w:tcMar>
              <w:top w:w="57" w:type="dxa"/>
              <w:bottom w:w="57" w:type="dxa"/>
            </w:tcMar>
          </w:tcPr>
          <w:p w:rsidR="00FD3AD8" w:rsidRDefault="00FD3AD8" w:rsidP="00975090">
            <w:pPr>
              <w:rPr>
                <w:rFonts w:ascii="Arial" w:hAnsi="Arial" w:cs="Arial"/>
                <w:sz w:val="18"/>
                <w:szCs w:val="18"/>
              </w:rPr>
            </w:pPr>
            <w:r>
              <w:rPr>
                <w:rFonts w:ascii="Arial" w:hAnsi="Arial" w:cs="Arial"/>
                <w:sz w:val="18"/>
                <w:szCs w:val="18"/>
              </w:rPr>
              <w:t>This will be maintained</w:t>
            </w: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Pr="006C7C85" w:rsidRDefault="00FD3AD8" w:rsidP="00975090">
            <w:pPr>
              <w:rPr>
                <w:rFonts w:ascii="Arial" w:hAnsi="Arial" w:cs="Arial"/>
                <w:sz w:val="18"/>
                <w:szCs w:val="18"/>
              </w:rPr>
            </w:pPr>
            <w:r>
              <w:rPr>
                <w:rFonts w:ascii="Arial" w:hAnsi="Arial" w:cs="Arial"/>
                <w:sz w:val="18"/>
                <w:szCs w:val="18"/>
              </w:rPr>
              <w:t>This is a crucial part of school life and will be maintained</w:t>
            </w:r>
          </w:p>
        </w:tc>
        <w:tc>
          <w:tcPr>
            <w:tcW w:w="1417" w:type="dxa"/>
          </w:tcPr>
          <w:p w:rsidR="00FD3AD8" w:rsidRDefault="00FD3AD8" w:rsidP="00975090">
            <w:pPr>
              <w:rPr>
                <w:rFonts w:ascii="Arial" w:hAnsi="Arial" w:cs="Arial"/>
                <w:sz w:val="18"/>
                <w:szCs w:val="18"/>
              </w:rPr>
            </w:pPr>
            <w:r>
              <w:rPr>
                <w:rFonts w:ascii="Arial" w:hAnsi="Arial" w:cs="Arial"/>
                <w:sz w:val="18"/>
                <w:szCs w:val="18"/>
              </w:rPr>
              <w:t>£4378</w:t>
            </w: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Default="00FD3AD8" w:rsidP="00975090">
            <w:pPr>
              <w:rPr>
                <w:rFonts w:ascii="Arial" w:hAnsi="Arial" w:cs="Arial"/>
                <w:sz w:val="18"/>
                <w:szCs w:val="18"/>
              </w:rPr>
            </w:pPr>
          </w:p>
          <w:p w:rsidR="00FD3AD8" w:rsidRPr="00E37385" w:rsidRDefault="00FD3AD8" w:rsidP="00975090">
            <w:pPr>
              <w:shd w:val="clear" w:color="auto" w:fill="FFFFFF"/>
              <w:rPr>
                <w:rFonts w:ascii="Arial" w:eastAsia="Times New Roman" w:hAnsi="Arial" w:cs="Arial"/>
                <w:color w:val="222222"/>
                <w:sz w:val="18"/>
                <w:szCs w:val="18"/>
                <w:lang w:eastAsia="en-GB"/>
              </w:rPr>
            </w:pPr>
            <w:r w:rsidRPr="00E37385">
              <w:rPr>
                <w:rFonts w:ascii="Arial" w:eastAsia="Times New Roman" w:hAnsi="Arial" w:cs="Arial"/>
                <w:color w:val="222222"/>
                <w:sz w:val="18"/>
                <w:szCs w:val="18"/>
                <w:lang w:eastAsia="en-GB"/>
              </w:rPr>
              <w:t>Uniform - £305.40</w:t>
            </w:r>
          </w:p>
          <w:p w:rsidR="00FD3AD8" w:rsidRPr="00E37385" w:rsidRDefault="00FD3AD8" w:rsidP="00975090">
            <w:pPr>
              <w:shd w:val="clear" w:color="auto" w:fill="FFFFFF"/>
              <w:rPr>
                <w:rFonts w:ascii="Arial" w:eastAsia="Times New Roman" w:hAnsi="Arial" w:cs="Arial"/>
                <w:color w:val="222222"/>
                <w:sz w:val="18"/>
                <w:szCs w:val="18"/>
                <w:lang w:eastAsia="en-GB"/>
              </w:rPr>
            </w:pPr>
            <w:r w:rsidRPr="00E37385">
              <w:rPr>
                <w:rFonts w:ascii="Arial" w:eastAsia="Times New Roman" w:hAnsi="Arial" w:cs="Arial"/>
                <w:color w:val="222222"/>
                <w:sz w:val="18"/>
                <w:szCs w:val="18"/>
                <w:lang w:eastAsia="en-GB"/>
              </w:rPr>
              <w:t>- Extended Schools - £585</w:t>
            </w:r>
          </w:p>
          <w:p w:rsidR="00FD3AD8" w:rsidRPr="00E37385" w:rsidRDefault="00FD3AD8" w:rsidP="00975090">
            <w:pPr>
              <w:shd w:val="clear" w:color="auto" w:fill="FFFFFF"/>
              <w:rPr>
                <w:rFonts w:ascii="Arial" w:eastAsia="Times New Roman" w:hAnsi="Arial" w:cs="Arial"/>
                <w:color w:val="222222"/>
                <w:sz w:val="18"/>
                <w:szCs w:val="18"/>
                <w:lang w:eastAsia="en-GB"/>
              </w:rPr>
            </w:pPr>
            <w:r w:rsidRPr="00E37385">
              <w:rPr>
                <w:rFonts w:ascii="Arial" w:eastAsia="Times New Roman" w:hAnsi="Arial" w:cs="Arial"/>
                <w:color w:val="222222"/>
                <w:sz w:val="18"/>
                <w:szCs w:val="18"/>
                <w:lang w:eastAsia="en-GB"/>
              </w:rPr>
              <w:t>- Music tuition - NIL</w:t>
            </w:r>
          </w:p>
          <w:p w:rsidR="00FD3AD8" w:rsidRPr="00E37385" w:rsidRDefault="00FD3AD8" w:rsidP="00975090">
            <w:pPr>
              <w:shd w:val="clear" w:color="auto" w:fill="FFFFFF"/>
              <w:rPr>
                <w:rFonts w:ascii="Arial" w:eastAsia="Times New Roman" w:hAnsi="Arial" w:cs="Arial"/>
                <w:color w:val="222222"/>
                <w:sz w:val="18"/>
                <w:szCs w:val="18"/>
                <w:lang w:eastAsia="en-GB"/>
              </w:rPr>
            </w:pPr>
            <w:r w:rsidRPr="00E37385">
              <w:rPr>
                <w:rFonts w:ascii="Arial" w:eastAsia="Times New Roman" w:hAnsi="Arial" w:cs="Arial"/>
                <w:color w:val="222222"/>
                <w:sz w:val="18"/>
                <w:szCs w:val="18"/>
                <w:lang w:eastAsia="en-GB"/>
              </w:rPr>
              <w:t>- Trips - £342</w:t>
            </w:r>
          </w:p>
          <w:p w:rsidR="00FD3AD8" w:rsidRPr="00E37385" w:rsidRDefault="00FD3AD8" w:rsidP="00975090">
            <w:pPr>
              <w:shd w:val="clear" w:color="auto" w:fill="FFFFFF"/>
              <w:rPr>
                <w:rFonts w:ascii="Arial" w:eastAsia="Times New Roman" w:hAnsi="Arial" w:cs="Arial"/>
                <w:color w:val="222222"/>
                <w:sz w:val="18"/>
                <w:szCs w:val="18"/>
                <w:lang w:eastAsia="en-GB"/>
              </w:rPr>
            </w:pPr>
            <w:r w:rsidRPr="00E37385">
              <w:rPr>
                <w:rFonts w:ascii="Arial" w:eastAsia="Times New Roman" w:hAnsi="Arial" w:cs="Arial"/>
                <w:color w:val="222222"/>
                <w:sz w:val="18"/>
                <w:szCs w:val="18"/>
                <w:lang w:eastAsia="en-GB"/>
              </w:rPr>
              <w:t>Total:- £1232.40</w:t>
            </w:r>
          </w:p>
          <w:p w:rsidR="00FD3AD8" w:rsidRPr="006C7C85" w:rsidRDefault="00FD3AD8" w:rsidP="00975090">
            <w:pPr>
              <w:rPr>
                <w:rFonts w:ascii="Arial" w:hAnsi="Arial" w:cs="Arial"/>
                <w:sz w:val="18"/>
                <w:szCs w:val="18"/>
              </w:rPr>
            </w:pPr>
          </w:p>
        </w:tc>
      </w:tr>
    </w:tbl>
    <w:p w:rsidR="00111D23" w:rsidRDefault="00FD3AD8">
      <w:bookmarkStart w:id="0" w:name="_GoBack"/>
      <w:bookmarkEnd w:id="0"/>
    </w:p>
    <w:sectPr w:rsidR="00111D23" w:rsidSect="00FD3AD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01204"/>
    <w:multiLevelType w:val="hybridMultilevel"/>
    <w:tmpl w:val="01E87560"/>
    <w:lvl w:ilvl="0" w:tplc="0809000F">
      <w:start w:val="1"/>
      <w:numFmt w:val="decimal"/>
      <w:lvlText w:val="%1."/>
      <w:lvlJc w:val="left"/>
      <w:pPr>
        <w:ind w:left="360"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D8"/>
    <w:rsid w:val="004E1291"/>
    <w:rsid w:val="005D6069"/>
    <w:rsid w:val="00FD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A605"/>
  <w15:chartTrackingRefBased/>
  <w15:docId w15:val="{84215D45-7AEE-486B-85DE-FA524F08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AD8"/>
    <w:pPr>
      <w:spacing w:after="0" w:line="240" w:lineRule="auto"/>
      <w:ind w:left="720"/>
    </w:pPr>
  </w:style>
  <w:style w:type="table" w:styleId="TableGrid">
    <w:name w:val="Table Grid"/>
    <w:basedOn w:val="TableNormal"/>
    <w:uiPriority w:val="59"/>
    <w:rsid w:val="00FD3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3A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Hunwick</dc:creator>
  <cp:keywords/>
  <dc:description/>
  <cp:lastModifiedBy>Daniel Hunwick</cp:lastModifiedBy>
  <cp:revision>1</cp:revision>
  <dcterms:created xsi:type="dcterms:W3CDTF">2019-09-13T09:04:00Z</dcterms:created>
  <dcterms:modified xsi:type="dcterms:W3CDTF">2019-09-13T09:08:00Z</dcterms:modified>
</cp:coreProperties>
</file>